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36"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6"/>
        <w:tblLayout w:type="fixed"/>
        <w:tblLook w:firstRow="0" w:lastRow="0" w:firstColumn="0" w:lastColumn="0" w:noHBand="0" w:noVBand="0" w:val="0000"/>
      </w:tblPr>
      <w:tblGrid>
        <w:gridCol w:w="339"/>
        <w:gridCol w:w="820"/>
        <w:gridCol w:w="2036"/>
        <w:gridCol w:w="1499"/>
        <w:gridCol w:w="313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br/>
            </w:r>
            <w:r>
              <w:t xml:space="preserve">Source: Esri ArcGIS 10.2 Help |</w:t>
            </w:r>
          </w:p>
        </w:tc>
      </w:tr>
    </w:tbl>
    <w:p>
      <w:pPr>
        <w:pStyle w:val="BodyText"/>
      </w:pPr>
      <w:r>
        <w:t xml:space="preserve"> </w:t>
      </w:r>
    </w:p>
    <w:tbl>
      <w:tblPr>
        <w:tblStyle w:val="Table"/>
        <w:tblW w:type="pct" w:w="4967"/>
        <w:tblLayout w:type="fixed"/>
        <w:tblLook w:firstRow="0" w:lastRow="0" w:firstColumn="0" w:lastColumn="0" w:noHBand="0" w:noVBand="0" w:val="0000"/>
      </w:tblPr>
      <w:tblGrid>
        <w:gridCol w:w="77"/>
        <w:gridCol w:w="869"/>
        <w:gridCol w:w="1246"/>
        <w:gridCol w:w="1363"/>
        <w:gridCol w:w="4167"/>
        <w:gridCol w:w="14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35">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36"/>
    <w:bookmarkStart w:id="138"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37">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38"/>
    <w:bookmarkStart w:id="139"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39"/>
    <w:bookmarkStart w:id="140"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40"/>
    <w:bookmarkStart w:id="141"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focuses on the 2012 and 2018 reference years, detailing the product’s characteristics, methodology, potential applications, quality assessment, and technical specifications. The document serves as a guide for users seeking to understand and effectively utilise the Riparian Zones LC/LU dataset for environmental monitoring, policy support, and scientific research related to riparian ecosystems across the EEA-38 countries and the UK.</dc:description>
  <cp:keywords>Riparian Zones, Land Cover/Land Use Classification, Ecosystem Services, Strahler Stream Order, Very High-Resolution Imagery, Mapping and Assessment of Ecosystems and their Services, European Catchment and Rivers Network System, Parent Scene Identification Layer, Minimum Mapping Unit, Change Mapping Methodology</cp:keywords>
  <dcterms:created xsi:type="dcterms:W3CDTF">2025-10-08T05:40:04Z</dcterms:created>
  <dcterms:modified xsi:type="dcterms:W3CDTF">2025-10-08T05:40:04Z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